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D6C8A" w14:textId="7EE21434"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Приватне акціонерне товариство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(Код за ЄДРПОУ </w:t>
      </w:r>
      <w:r w:rsidR="00D603DF">
        <w:rPr>
          <w:rFonts w:ascii="Times New Roman" w:hAnsi="Times New Roman" w:cs="Times New Roman"/>
        </w:rPr>
        <w:t>13980603</w:t>
      </w:r>
      <w:r w:rsidRPr="00B42595">
        <w:rPr>
          <w:rFonts w:ascii="Times New Roman" w:hAnsi="Times New Roman" w:cs="Times New Roman"/>
        </w:rPr>
        <w:t xml:space="preserve">) Місцезнаходження: 35641, Україна,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00D603DF">
        <w:rPr>
          <w:rFonts w:ascii="Times New Roman" w:hAnsi="Times New Roman" w:cs="Times New Roman"/>
        </w:rPr>
        <w:t>, вул.. Львівська 264</w:t>
      </w:r>
      <w:r w:rsidRPr="00B42595">
        <w:rPr>
          <w:rFonts w:ascii="Times New Roman" w:hAnsi="Times New Roman" w:cs="Times New Roman"/>
        </w:rPr>
        <w:t xml:space="preserve"> 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8311DD">
        <w:rPr>
          <w:rFonts w:ascii="Times New Roman" w:hAnsi="Times New Roman" w:cs="Times New Roman"/>
        </w:rPr>
        <w:t>2</w:t>
      </w:r>
      <w:r w:rsidR="00D90D68">
        <w:rPr>
          <w:rFonts w:ascii="Times New Roman" w:hAnsi="Times New Roman" w:cs="Times New Roman"/>
        </w:rPr>
        <w:t>9</w:t>
      </w:r>
      <w:r w:rsidRPr="00B42595">
        <w:rPr>
          <w:rFonts w:ascii="Times New Roman" w:hAnsi="Times New Roman" w:cs="Times New Roman"/>
        </w:rPr>
        <w:t xml:space="preserve">» </w:t>
      </w:r>
      <w:r w:rsidR="004422D0">
        <w:rPr>
          <w:rFonts w:ascii="Times New Roman" w:hAnsi="Times New Roman" w:cs="Times New Roman"/>
        </w:rPr>
        <w:t>квітня</w:t>
      </w:r>
      <w:r w:rsidRPr="00B42595">
        <w:rPr>
          <w:rFonts w:ascii="Times New Roman" w:hAnsi="Times New Roman" w:cs="Times New Roman"/>
        </w:rPr>
        <w:t xml:space="preserve"> 20</w:t>
      </w:r>
      <w:r w:rsidR="00D603DF">
        <w:rPr>
          <w:rFonts w:ascii="Times New Roman" w:hAnsi="Times New Roman" w:cs="Times New Roman"/>
        </w:rPr>
        <w:t>2</w:t>
      </w:r>
      <w:r w:rsidR="004422D0">
        <w:rPr>
          <w:rFonts w:ascii="Times New Roman" w:hAnsi="Times New Roman" w:cs="Times New Roman"/>
        </w:rPr>
        <w:t>1</w:t>
      </w:r>
      <w:r w:rsidRPr="00B42595">
        <w:rPr>
          <w:rFonts w:ascii="Times New Roman" w:hAnsi="Times New Roman" w:cs="Times New Roman"/>
        </w:rPr>
        <w:t xml:space="preserve"> року  за адресою: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264, Приміщення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кабінет директора.  Початок зборів об 11-00 годині. Реєстрація акціонерів та їх повноважних  представників проводитиметься з 10 год. 00 хв. до 10 год. 45 хв. за вищевказаною адресою проведення Загальних зборів. </w:t>
      </w:r>
    </w:p>
    <w:p w14:paraId="09E9A82D" w14:textId="3D1E5528" w:rsidR="0051327C" w:rsidRPr="00B42595" w:rsidRDefault="0051327C" w:rsidP="0051327C">
      <w:pPr>
        <w:pStyle w:val="a3"/>
        <w:spacing w:after="0" w:line="240" w:lineRule="auto"/>
        <w:ind w:left="284"/>
        <w:jc w:val="both"/>
        <w:rPr>
          <w:rFonts w:ascii="Times New Roman" w:hAnsi="Times New Roman" w:cs="Times New Roman"/>
        </w:rPr>
      </w:pPr>
      <w:r w:rsidRPr="00B42595">
        <w:rPr>
          <w:rFonts w:ascii="Times New Roman" w:hAnsi="Times New Roman" w:cs="Times New Roman"/>
        </w:rPr>
        <w:t>Дата складання переліку акціонерів, які мають право на участь у Зборах – «</w:t>
      </w:r>
      <w:r w:rsidR="004422D0">
        <w:rPr>
          <w:rFonts w:ascii="Times New Roman" w:hAnsi="Times New Roman" w:cs="Times New Roman"/>
          <w:lang w:val="ru-RU"/>
        </w:rPr>
        <w:t>2</w:t>
      </w:r>
      <w:r w:rsidR="00D5060B">
        <w:rPr>
          <w:rFonts w:ascii="Times New Roman" w:hAnsi="Times New Roman" w:cs="Times New Roman"/>
          <w:lang w:val="ru-RU"/>
        </w:rPr>
        <w:t>3</w:t>
      </w:r>
      <w:bookmarkStart w:id="0" w:name="_GoBack"/>
      <w:bookmarkEnd w:id="0"/>
      <w:r w:rsidRPr="00B42595">
        <w:rPr>
          <w:rFonts w:ascii="Times New Roman" w:hAnsi="Times New Roman" w:cs="Times New Roman"/>
        </w:rPr>
        <w:t xml:space="preserve">» </w:t>
      </w:r>
      <w:r w:rsidR="004422D0">
        <w:rPr>
          <w:rFonts w:ascii="Times New Roman" w:hAnsi="Times New Roman" w:cs="Times New Roman"/>
        </w:rPr>
        <w:t>квітня</w:t>
      </w:r>
      <w:r w:rsidRPr="00B42595">
        <w:rPr>
          <w:rFonts w:ascii="Times New Roman" w:hAnsi="Times New Roman" w:cs="Times New Roman"/>
        </w:rPr>
        <w:t xml:space="preserve"> 20</w:t>
      </w:r>
      <w:r w:rsidR="00D603DF">
        <w:rPr>
          <w:rFonts w:ascii="Times New Roman" w:hAnsi="Times New Roman" w:cs="Times New Roman"/>
        </w:rPr>
        <w:t>2</w:t>
      </w:r>
      <w:r w:rsidR="004422D0">
        <w:rPr>
          <w:rFonts w:ascii="Times New Roman" w:hAnsi="Times New Roman" w:cs="Times New Roman"/>
        </w:rPr>
        <w:t>1</w:t>
      </w:r>
      <w:r w:rsidRPr="00B42595">
        <w:rPr>
          <w:rFonts w:ascii="Times New Roman" w:hAnsi="Times New Roman" w:cs="Times New Roman"/>
        </w:rPr>
        <w:t xml:space="preserve"> року  (станом на 24-00). </w:t>
      </w:r>
    </w:p>
    <w:p w14:paraId="63E5891B" w14:textId="77777777" w:rsidR="0051327C" w:rsidRPr="00B42595" w:rsidRDefault="0051327C" w:rsidP="0051327C">
      <w:pPr>
        <w:pStyle w:val="a3"/>
        <w:spacing w:after="0" w:line="240" w:lineRule="auto"/>
        <w:ind w:left="284"/>
        <w:jc w:val="center"/>
        <w:rPr>
          <w:rFonts w:ascii="Times New Roman" w:eastAsia="Times New Roman" w:hAnsi="Times New Roman" w:cs="Times New Roman"/>
          <w:lang w:eastAsia="uk-UA"/>
        </w:rPr>
      </w:pPr>
      <w:r w:rsidRPr="00B42595">
        <w:rPr>
          <w:rFonts w:ascii="Times New Roman" w:eastAsia="Times New Roman" w:hAnsi="Times New Roman" w:cs="Times New Roman"/>
          <w:b/>
          <w:bCs/>
          <w:lang w:eastAsia="uk-UA"/>
        </w:rPr>
        <w:t>ПРОЕКТ ПОРЯДКУ ДЕННОГО ТА ПРОЕКТИ РІШЕНЬ:</w:t>
      </w:r>
    </w:p>
    <w:p w14:paraId="77C9CAF0" w14:textId="2825F0D3"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Про обрання лічильної комісії Загальних зборів Товариства.</w:t>
      </w:r>
      <w:r w:rsidR="00087FF4" w:rsidRPr="00087FF4">
        <w:rPr>
          <w:rFonts w:ascii="Times New Roman" w:hAnsi="Times New Roman" w:cs="Times New Roman"/>
          <w:i/>
          <w:iCs/>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 xml:space="preserve"> Обрати лічильну комісію у наступному складі: Голова лічильної </w:t>
      </w:r>
      <w:r w:rsidRPr="00822F7E">
        <w:rPr>
          <w:rFonts w:ascii="Times New Roman" w:hAnsi="Times New Roman" w:cs="Times New Roman"/>
          <w:i/>
        </w:rPr>
        <w:t xml:space="preserve">комісії </w:t>
      </w:r>
      <w:proofErr w:type="spellStart"/>
      <w:r w:rsidR="00822F7E" w:rsidRPr="00822F7E">
        <w:rPr>
          <w:rFonts w:ascii="Times New Roman" w:hAnsi="Times New Roman" w:cs="Times New Roman"/>
          <w:i/>
        </w:rPr>
        <w:t>Трачук</w:t>
      </w:r>
      <w:proofErr w:type="spellEnd"/>
      <w:r w:rsidR="00822F7E" w:rsidRPr="00822F7E">
        <w:rPr>
          <w:rFonts w:ascii="Times New Roman" w:hAnsi="Times New Roman" w:cs="Times New Roman"/>
          <w:i/>
        </w:rPr>
        <w:t xml:space="preserve"> І.О.</w:t>
      </w:r>
      <w:r w:rsidRPr="00822F7E">
        <w:rPr>
          <w:rFonts w:ascii="Times New Roman" w:hAnsi="Times New Roman" w:cs="Times New Roman"/>
          <w:i/>
        </w:rPr>
        <w:t xml:space="preserve">, член лічильної комісії </w:t>
      </w:r>
      <w:r w:rsidR="00822F7E" w:rsidRPr="00822F7E">
        <w:rPr>
          <w:rFonts w:ascii="Times New Roman" w:hAnsi="Times New Roman" w:cs="Times New Roman"/>
          <w:i/>
        </w:rPr>
        <w:t xml:space="preserve"> </w:t>
      </w:r>
      <w:proofErr w:type="spellStart"/>
      <w:r w:rsidR="00822F7E" w:rsidRPr="00822F7E">
        <w:rPr>
          <w:rFonts w:ascii="Times New Roman" w:hAnsi="Times New Roman" w:cs="Times New Roman"/>
          <w:i/>
        </w:rPr>
        <w:t>Михащук</w:t>
      </w:r>
      <w:proofErr w:type="spellEnd"/>
      <w:r w:rsidR="00822F7E">
        <w:rPr>
          <w:rFonts w:ascii="Times New Roman" w:hAnsi="Times New Roman" w:cs="Times New Roman"/>
          <w:i/>
        </w:rPr>
        <w:t xml:space="preserve"> О.І.</w:t>
      </w:r>
    </w:p>
    <w:p w14:paraId="137B5C3D" w14:textId="30FAD1B5"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rPr>
      </w:pPr>
      <w:r w:rsidRPr="00B42595">
        <w:rPr>
          <w:rFonts w:ascii="Times New Roman" w:hAnsi="Times New Roman" w:cs="Times New Roman"/>
          <w:lang w:eastAsia="uk-UA"/>
        </w:rPr>
        <w:t>Про обрання Голови та секретаря Загальних зборів Товариства.</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Головою зборів</w:t>
      </w:r>
      <w:r w:rsidRPr="00B42595">
        <w:rPr>
          <w:rFonts w:ascii="Times New Roman" w:hAnsi="Times New Roman" w:cs="Times New Roman"/>
          <w:bCs/>
          <w:i/>
        </w:rPr>
        <w:t xml:space="preserve"> </w:t>
      </w:r>
      <w:proofErr w:type="spellStart"/>
      <w:r w:rsidRPr="00B42595">
        <w:rPr>
          <w:rFonts w:ascii="Times New Roman" w:hAnsi="Times New Roman" w:cs="Times New Roman"/>
          <w:i/>
        </w:rPr>
        <w:t>Дмитрук</w:t>
      </w:r>
      <w:proofErr w:type="spellEnd"/>
      <w:r w:rsidRPr="00B42595">
        <w:rPr>
          <w:rFonts w:ascii="Times New Roman" w:hAnsi="Times New Roman" w:cs="Times New Roman"/>
          <w:i/>
        </w:rPr>
        <w:t xml:space="preserve"> О.В., а секретарем зборів </w:t>
      </w:r>
      <w:proofErr w:type="spellStart"/>
      <w:r w:rsidRPr="00B42595">
        <w:rPr>
          <w:rFonts w:ascii="Times New Roman" w:hAnsi="Times New Roman" w:cs="Times New Roman"/>
          <w:i/>
        </w:rPr>
        <w:t>Рашко</w:t>
      </w:r>
      <w:proofErr w:type="spellEnd"/>
      <w:r w:rsidRPr="00B42595">
        <w:rPr>
          <w:rFonts w:ascii="Times New Roman" w:hAnsi="Times New Roman" w:cs="Times New Roman"/>
          <w:i/>
        </w:rPr>
        <w:t xml:space="preserve"> Г.Я.</w:t>
      </w:r>
      <w:r w:rsidRPr="00B42595">
        <w:rPr>
          <w:rFonts w:ascii="Times New Roman" w:hAnsi="Times New Roman" w:cs="Times New Roman"/>
        </w:rPr>
        <w:t xml:space="preserve"> </w:t>
      </w:r>
    </w:p>
    <w:p w14:paraId="7E8E5E28" w14:textId="196DAE16"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Наглядової ради Товариства про діяльність за 20</w:t>
      </w:r>
      <w:r w:rsidR="004422D0">
        <w:rPr>
          <w:rFonts w:ascii="Times New Roman" w:hAnsi="Times New Roman" w:cs="Times New Roman"/>
          <w:lang w:eastAsia="uk-UA"/>
        </w:rPr>
        <w:t>20</w:t>
      </w:r>
      <w:r w:rsidRPr="00B42595">
        <w:rPr>
          <w:rFonts w:ascii="Times New Roman" w:hAnsi="Times New Roman" w:cs="Times New Roman"/>
          <w:lang w:eastAsia="uk-UA"/>
        </w:rPr>
        <w:t xml:space="preserve"> рік.</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звіт Наглядової ради Товариства про діяльність у 20</w:t>
      </w:r>
      <w:r w:rsidR="004422D0">
        <w:rPr>
          <w:rFonts w:ascii="Times New Roman" w:hAnsi="Times New Roman" w:cs="Times New Roman"/>
          <w:i/>
        </w:rPr>
        <w:t>20</w:t>
      </w:r>
      <w:r w:rsidRPr="00B42595">
        <w:rPr>
          <w:rFonts w:ascii="Times New Roman" w:hAnsi="Times New Roman" w:cs="Times New Roman"/>
          <w:i/>
        </w:rPr>
        <w:t xml:space="preserve"> році. </w:t>
      </w:r>
    </w:p>
    <w:p w14:paraId="36BF281B" w14:textId="727E4AFF"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lang w:eastAsia="uk-UA"/>
        </w:rPr>
      </w:pPr>
      <w:r w:rsidRPr="00B42595">
        <w:rPr>
          <w:rFonts w:ascii="Times New Roman" w:hAnsi="Times New Roman" w:cs="Times New Roman"/>
          <w:lang w:eastAsia="uk-UA"/>
        </w:rPr>
        <w:t>Про звіт Виконавчого органу Товариства про діяльність за 20</w:t>
      </w:r>
      <w:r w:rsidR="004422D0">
        <w:rPr>
          <w:rFonts w:ascii="Times New Roman" w:hAnsi="Times New Roman" w:cs="Times New Roman"/>
          <w:lang w:eastAsia="uk-UA"/>
        </w:rPr>
        <w:t>20</w:t>
      </w:r>
      <w:r w:rsidRPr="00B42595">
        <w:rPr>
          <w:rFonts w:ascii="Times New Roman" w:hAnsi="Times New Roman" w:cs="Times New Roman"/>
          <w:lang w:eastAsia="uk-UA"/>
        </w:rPr>
        <w:t xml:space="preserve"> рік.</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звіт Виконавчого органу  Товариства за 20</w:t>
      </w:r>
      <w:r w:rsidR="004422D0">
        <w:rPr>
          <w:rFonts w:ascii="Times New Roman" w:hAnsi="Times New Roman" w:cs="Times New Roman"/>
          <w:i/>
        </w:rPr>
        <w:t>20</w:t>
      </w:r>
      <w:r w:rsidRPr="00B42595">
        <w:rPr>
          <w:rFonts w:ascii="Times New Roman" w:hAnsi="Times New Roman" w:cs="Times New Roman"/>
          <w:i/>
        </w:rPr>
        <w:t xml:space="preserve"> рік.</w:t>
      </w:r>
    </w:p>
    <w:p w14:paraId="66ABCD90" w14:textId="4863648C"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lang w:eastAsia="uk-UA"/>
        </w:rPr>
        <w:t xml:space="preserve">Про затвердження річного звіту Товариства за </w:t>
      </w:r>
      <w:r w:rsidR="004D6EB5" w:rsidRPr="00B42595">
        <w:rPr>
          <w:rFonts w:ascii="Times New Roman" w:hAnsi="Times New Roman" w:cs="Times New Roman"/>
          <w:lang w:eastAsia="uk-UA"/>
        </w:rPr>
        <w:t>20</w:t>
      </w:r>
      <w:r w:rsidR="004422D0">
        <w:rPr>
          <w:rFonts w:ascii="Times New Roman" w:hAnsi="Times New Roman" w:cs="Times New Roman"/>
          <w:lang w:eastAsia="uk-UA"/>
        </w:rPr>
        <w:t>20</w:t>
      </w:r>
      <w:r w:rsidRPr="00B42595">
        <w:rPr>
          <w:rFonts w:ascii="Times New Roman" w:hAnsi="Times New Roman" w:cs="Times New Roman"/>
          <w:lang w:eastAsia="uk-UA"/>
        </w:rPr>
        <w:t>  рік.</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Затвердити річн</w:t>
      </w:r>
      <w:r w:rsidR="004D6EB5" w:rsidRPr="00B42595">
        <w:rPr>
          <w:rFonts w:ascii="Times New Roman" w:hAnsi="Times New Roman" w:cs="Times New Roman"/>
          <w:i/>
        </w:rPr>
        <w:t>ий</w:t>
      </w:r>
      <w:r w:rsidRPr="00B42595">
        <w:rPr>
          <w:rFonts w:ascii="Times New Roman" w:hAnsi="Times New Roman" w:cs="Times New Roman"/>
          <w:i/>
        </w:rPr>
        <w:t xml:space="preserve"> звіт Товариства за 20</w:t>
      </w:r>
      <w:r w:rsidR="004422D0">
        <w:rPr>
          <w:rFonts w:ascii="Times New Roman" w:hAnsi="Times New Roman" w:cs="Times New Roman"/>
          <w:i/>
        </w:rPr>
        <w:t>20</w:t>
      </w:r>
      <w:r w:rsidRPr="00B42595">
        <w:rPr>
          <w:rFonts w:ascii="Times New Roman" w:hAnsi="Times New Roman" w:cs="Times New Roman"/>
          <w:i/>
        </w:rPr>
        <w:t xml:space="preserve"> </w:t>
      </w:r>
      <w:r w:rsidR="004D6EB5" w:rsidRPr="00B42595">
        <w:rPr>
          <w:rFonts w:ascii="Times New Roman" w:hAnsi="Times New Roman" w:cs="Times New Roman"/>
          <w:i/>
        </w:rPr>
        <w:t>рік.</w:t>
      </w:r>
    </w:p>
    <w:p w14:paraId="67F9EC65" w14:textId="532A2A78" w:rsidR="0051327C" w:rsidRPr="00822F7E" w:rsidRDefault="0051327C" w:rsidP="0051327C">
      <w:pPr>
        <w:pStyle w:val="a3"/>
        <w:numPr>
          <w:ilvl w:val="0"/>
          <w:numId w:val="2"/>
        </w:numPr>
        <w:spacing w:after="0" w:line="240" w:lineRule="auto"/>
        <w:ind w:left="284" w:hanging="284"/>
        <w:jc w:val="both"/>
        <w:rPr>
          <w:rFonts w:ascii="Times New Roman" w:hAnsi="Times New Roman" w:cs="Times New Roman"/>
          <w:i/>
        </w:rPr>
      </w:pPr>
      <w:r w:rsidRPr="00822F7E">
        <w:rPr>
          <w:rFonts w:ascii="Times New Roman" w:hAnsi="Times New Roman" w:cs="Times New Roman"/>
          <w:lang w:eastAsia="uk-UA"/>
        </w:rPr>
        <w:t>Про порядок розподілу прибутку (покриття збитків) Товариства</w:t>
      </w:r>
      <w:r w:rsidR="004D6EB5" w:rsidRPr="00822F7E">
        <w:rPr>
          <w:rFonts w:ascii="Times New Roman" w:hAnsi="Times New Roman" w:cs="Times New Roman"/>
          <w:lang w:eastAsia="uk-UA"/>
        </w:rPr>
        <w:t>.</w:t>
      </w:r>
      <w:r w:rsidRPr="00822F7E">
        <w:rPr>
          <w:rFonts w:ascii="Times New Roman" w:hAnsi="Times New Roman" w:cs="Times New Roman"/>
          <w:lang w:eastAsia="uk-UA"/>
        </w:rPr>
        <w:t xml:space="preserve"> </w:t>
      </w:r>
      <w:r w:rsidR="00087FF4" w:rsidRPr="00822F7E">
        <w:rPr>
          <w:rFonts w:ascii="Times New Roman" w:hAnsi="Times New Roman" w:cs="Times New Roman"/>
          <w:i/>
          <w:iCs/>
        </w:rPr>
        <w:t xml:space="preserve">Проект рішення: </w:t>
      </w:r>
      <w:r w:rsidRPr="00822F7E">
        <w:rPr>
          <w:rFonts w:ascii="Times New Roman" w:hAnsi="Times New Roman" w:cs="Times New Roman"/>
          <w:i/>
        </w:rPr>
        <w:t>Затвердити прибуток Товариства за</w:t>
      </w:r>
      <w:r w:rsidR="004D6EB5" w:rsidRPr="00822F7E">
        <w:rPr>
          <w:rFonts w:ascii="Times New Roman" w:hAnsi="Times New Roman" w:cs="Times New Roman"/>
          <w:i/>
        </w:rPr>
        <w:t xml:space="preserve"> 20</w:t>
      </w:r>
      <w:r w:rsidR="004422D0">
        <w:rPr>
          <w:rFonts w:ascii="Times New Roman" w:hAnsi="Times New Roman" w:cs="Times New Roman"/>
          <w:i/>
        </w:rPr>
        <w:t>20</w:t>
      </w:r>
      <w:r w:rsidR="004D6EB5" w:rsidRPr="00822F7E">
        <w:rPr>
          <w:rFonts w:ascii="Times New Roman" w:hAnsi="Times New Roman" w:cs="Times New Roman"/>
          <w:i/>
        </w:rPr>
        <w:t xml:space="preserve"> рік</w:t>
      </w:r>
      <w:r w:rsidRPr="00822F7E">
        <w:rPr>
          <w:rFonts w:ascii="Times New Roman" w:hAnsi="Times New Roman" w:cs="Times New Roman"/>
          <w:i/>
        </w:rPr>
        <w:t xml:space="preserve">. За рахунок отриманого прибутку покрити збитки попередніх років. Дивіденди за </w:t>
      </w:r>
      <w:r w:rsidR="004D6EB5" w:rsidRPr="00822F7E">
        <w:rPr>
          <w:rFonts w:ascii="Times New Roman" w:hAnsi="Times New Roman" w:cs="Times New Roman"/>
          <w:i/>
        </w:rPr>
        <w:t>20</w:t>
      </w:r>
      <w:r w:rsidR="004422D0">
        <w:rPr>
          <w:rFonts w:ascii="Times New Roman" w:hAnsi="Times New Roman" w:cs="Times New Roman"/>
          <w:i/>
        </w:rPr>
        <w:t>20</w:t>
      </w:r>
      <w:r w:rsidRPr="00822F7E">
        <w:rPr>
          <w:rFonts w:ascii="Times New Roman" w:hAnsi="Times New Roman" w:cs="Times New Roman"/>
          <w:i/>
        </w:rPr>
        <w:t xml:space="preserve"> </w:t>
      </w:r>
      <w:r w:rsidR="004D6EB5" w:rsidRPr="00822F7E">
        <w:rPr>
          <w:rFonts w:ascii="Times New Roman" w:hAnsi="Times New Roman" w:cs="Times New Roman"/>
          <w:i/>
        </w:rPr>
        <w:t>рік</w:t>
      </w:r>
      <w:r w:rsidRPr="00822F7E">
        <w:rPr>
          <w:rFonts w:ascii="Times New Roman" w:hAnsi="Times New Roman" w:cs="Times New Roman"/>
          <w:i/>
        </w:rPr>
        <w:t xml:space="preserve"> в Товаристві не розподіляти та не виплачувати.</w:t>
      </w:r>
    </w:p>
    <w:p w14:paraId="79EECBC9" w14:textId="2963953D" w:rsidR="0051327C" w:rsidRPr="00B42595" w:rsidRDefault="0051327C" w:rsidP="0051327C">
      <w:pPr>
        <w:pStyle w:val="a3"/>
        <w:numPr>
          <w:ilvl w:val="0"/>
          <w:numId w:val="2"/>
        </w:numPr>
        <w:spacing w:after="0" w:line="240" w:lineRule="auto"/>
        <w:ind w:left="284" w:hanging="284"/>
        <w:jc w:val="both"/>
        <w:rPr>
          <w:rFonts w:ascii="Times New Roman" w:hAnsi="Times New Roman" w:cs="Times New Roman"/>
          <w:i/>
        </w:rPr>
      </w:pPr>
      <w:r w:rsidRPr="00B42595">
        <w:rPr>
          <w:rFonts w:ascii="Times New Roman" w:hAnsi="Times New Roman" w:cs="Times New Roman"/>
        </w:rPr>
        <w:t>Про прийняття рішення за наслідками розгляду звітів Наглядової ради, виконавчого органу.</w:t>
      </w:r>
      <w:r w:rsidRPr="00B42595">
        <w:rPr>
          <w:rFonts w:ascii="Times New Roman" w:hAnsi="Times New Roman" w:cs="Times New Roman"/>
          <w:i/>
        </w:rPr>
        <w:t xml:space="preserve"> </w:t>
      </w:r>
      <w:r w:rsidR="00087FF4" w:rsidRPr="00F33750">
        <w:rPr>
          <w:rFonts w:ascii="Times New Roman" w:hAnsi="Times New Roman" w:cs="Times New Roman"/>
          <w:i/>
          <w:iCs/>
        </w:rPr>
        <w:t xml:space="preserve">Проект рішення: </w:t>
      </w:r>
      <w:r w:rsidRPr="00B42595">
        <w:rPr>
          <w:rFonts w:ascii="Times New Roman" w:hAnsi="Times New Roman" w:cs="Times New Roman"/>
          <w:i/>
        </w:rPr>
        <w:t xml:space="preserve">Роботу Наглядової ради. Виконавчого органу </w:t>
      </w:r>
      <w:r w:rsidR="004422D0">
        <w:rPr>
          <w:rFonts w:ascii="Times New Roman" w:hAnsi="Times New Roman" w:cs="Times New Roman"/>
          <w:i/>
        </w:rPr>
        <w:t xml:space="preserve"> Товариства </w:t>
      </w:r>
      <w:r w:rsidRPr="00B42595">
        <w:rPr>
          <w:rFonts w:ascii="Times New Roman" w:hAnsi="Times New Roman" w:cs="Times New Roman"/>
          <w:i/>
        </w:rPr>
        <w:t xml:space="preserve">за </w:t>
      </w:r>
      <w:r w:rsidR="004D6EB5" w:rsidRPr="00B42595">
        <w:rPr>
          <w:rFonts w:ascii="Times New Roman" w:hAnsi="Times New Roman" w:cs="Times New Roman"/>
          <w:i/>
        </w:rPr>
        <w:t>20</w:t>
      </w:r>
      <w:r w:rsidR="004422D0">
        <w:rPr>
          <w:rFonts w:ascii="Times New Roman" w:hAnsi="Times New Roman" w:cs="Times New Roman"/>
          <w:i/>
        </w:rPr>
        <w:t>20</w:t>
      </w:r>
      <w:r w:rsidRPr="00B42595">
        <w:rPr>
          <w:rFonts w:ascii="Times New Roman" w:hAnsi="Times New Roman" w:cs="Times New Roman"/>
          <w:i/>
        </w:rPr>
        <w:t xml:space="preserve"> р</w:t>
      </w:r>
      <w:r w:rsidR="004D6EB5" w:rsidRPr="00B42595">
        <w:rPr>
          <w:rFonts w:ascii="Times New Roman" w:hAnsi="Times New Roman" w:cs="Times New Roman"/>
          <w:i/>
        </w:rPr>
        <w:t>ік</w:t>
      </w:r>
      <w:r w:rsidRPr="00B42595">
        <w:rPr>
          <w:rFonts w:ascii="Times New Roman" w:hAnsi="Times New Roman" w:cs="Times New Roman"/>
          <w:i/>
        </w:rPr>
        <w:t xml:space="preserve"> визнати задовільною.</w:t>
      </w:r>
    </w:p>
    <w:p w14:paraId="7FB87A3C" w14:textId="77777777" w:rsidR="001124C0" w:rsidRPr="00B42595" w:rsidRDefault="001124C0" w:rsidP="00283074">
      <w:pPr>
        <w:spacing w:after="0" w:line="240" w:lineRule="auto"/>
        <w:rPr>
          <w:rFonts w:ascii="Times New Roman" w:eastAsia="Times New Roman" w:hAnsi="Times New Roman" w:cs="Times New Roman"/>
          <w:color w:val="000000"/>
          <w:lang w:eastAsia="ru-RU"/>
        </w:rPr>
      </w:pPr>
    </w:p>
    <w:p w14:paraId="63364D73" w14:textId="77777777" w:rsidR="004A7530" w:rsidRPr="00B42595" w:rsidRDefault="004A7530" w:rsidP="004A7530">
      <w:pPr>
        <w:spacing w:after="0" w:line="240" w:lineRule="auto"/>
        <w:jc w:val="center"/>
        <w:rPr>
          <w:rFonts w:ascii="Times New Roman" w:hAnsi="Times New Roman" w:cs="Times New Roman"/>
        </w:rPr>
      </w:pPr>
      <w:r w:rsidRPr="00B42595">
        <w:rPr>
          <w:rFonts w:ascii="Times New Roman" w:hAnsi="Times New Roman" w:cs="Times New Roman"/>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96"/>
        <w:gridCol w:w="2120"/>
      </w:tblGrid>
      <w:tr w:rsidR="004D6EB5" w:rsidRPr="00B42595" w14:paraId="22E08E99" w14:textId="77777777" w:rsidTr="00F77F8A">
        <w:tc>
          <w:tcPr>
            <w:tcW w:w="5364" w:type="dxa"/>
            <w:vMerge w:val="restart"/>
            <w:shd w:val="clear" w:color="auto" w:fill="auto"/>
            <w:vAlign w:val="center"/>
          </w:tcPr>
          <w:p w14:paraId="35462625"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Найменування показника</w:t>
            </w:r>
          </w:p>
        </w:tc>
        <w:tc>
          <w:tcPr>
            <w:tcW w:w="3816" w:type="dxa"/>
            <w:gridSpan w:val="2"/>
            <w:shd w:val="clear" w:color="auto" w:fill="auto"/>
          </w:tcPr>
          <w:p w14:paraId="5F322C76"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 xml:space="preserve">Період  тис. </w:t>
            </w:r>
            <w:proofErr w:type="spellStart"/>
            <w:r w:rsidRPr="00B42595">
              <w:rPr>
                <w:rFonts w:ascii="Times New Roman" w:hAnsi="Times New Roman" w:cs="Times New Roman"/>
              </w:rPr>
              <w:t>грн</w:t>
            </w:r>
            <w:proofErr w:type="spellEnd"/>
          </w:p>
        </w:tc>
      </w:tr>
      <w:tr w:rsidR="004D6EB5" w:rsidRPr="00B42595" w14:paraId="4314862D" w14:textId="77777777" w:rsidTr="00F77F8A">
        <w:tc>
          <w:tcPr>
            <w:tcW w:w="5364" w:type="dxa"/>
            <w:vMerge/>
            <w:shd w:val="clear" w:color="auto" w:fill="auto"/>
          </w:tcPr>
          <w:p w14:paraId="1BCB545B" w14:textId="77777777" w:rsidR="004D6EB5" w:rsidRPr="00B42595" w:rsidRDefault="004D6EB5" w:rsidP="00F77F8A">
            <w:pPr>
              <w:rPr>
                <w:rFonts w:ascii="Times New Roman" w:hAnsi="Times New Roman" w:cs="Times New Roman"/>
              </w:rPr>
            </w:pPr>
          </w:p>
        </w:tc>
        <w:tc>
          <w:tcPr>
            <w:tcW w:w="1696" w:type="dxa"/>
            <w:shd w:val="clear" w:color="auto" w:fill="auto"/>
          </w:tcPr>
          <w:p w14:paraId="626FF98E" w14:textId="4E6011AE" w:rsidR="004D6EB5" w:rsidRPr="005C1795" w:rsidRDefault="004D6EB5" w:rsidP="00C619AE">
            <w:pPr>
              <w:rPr>
                <w:rFonts w:ascii="Times New Roman" w:hAnsi="Times New Roman" w:cs="Times New Roman"/>
              </w:rPr>
            </w:pPr>
            <w:r w:rsidRPr="005C1795">
              <w:rPr>
                <w:rFonts w:ascii="Times New Roman" w:hAnsi="Times New Roman" w:cs="Times New Roman"/>
              </w:rPr>
              <w:t>Звітний (20</w:t>
            </w:r>
            <w:r w:rsidR="00C619AE">
              <w:rPr>
                <w:rFonts w:ascii="Times New Roman" w:hAnsi="Times New Roman" w:cs="Times New Roman"/>
              </w:rPr>
              <w:t>20</w:t>
            </w:r>
            <w:r w:rsidRPr="005C1795">
              <w:rPr>
                <w:rFonts w:ascii="Times New Roman" w:hAnsi="Times New Roman" w:cs="Times New Roman"/>
              </w:rPr>
              <w:t>р.)</w:t>
            </w:r>
          </w:p>
        </w:tc>
        <w:tc>
          <w:tcPr>
            <w:tcW w:w="2120" w:type="dxa"/>
            <w:shd w:val="clear" w:color="auto" w:fill="auto"/>
          </w:tcPr>
          <w:p w14:paraId="7CC595E6" w14:textId="63D6FC57" w:rsidR="004D6EB5" w:rsidRPr="005C1795" w:rsidRDefault="004D6EB5" w:rsidP="00C619AE">
            <w:pPr>
              <w:rPr>
                <w:rFonts w:ascii="Times New Roman" w:hAnsi="Times New Roman" w:cs="Times New Roman"/>
              </w:rPr>
            </w:pPr>
            <w:r w:rsidRPr="005C1795">
              <w:rPr>
                <w:rFonts w:ascii="Times New Roman" w:hAnsi="Times New Roman" w:cs="Times New Roman"/>
              </w:rPr>
              <w:t>Попередній (201</w:t>
            </w:r>
            <w:r w:rsidR="00C619AE">
              <w:rPr>
                <w:rFonts w:ascii="Times New Roman" w:hAnsi="Times New Roman" w:cs="Times New Roman"/>
              </w:rPr>
              <w:t>9</w:t>
            </w:r>
            <w:r w:rsidRPr="005C1795">
              <w:rPr>
                <w:rFonts w:ascii="Times New Roman" w:hAnsi="Times New Roman" w:cs="Times New Roman"/>
              </w:rPr>
              <w:t>р.)</w:t>
            </w:r>
          </w:p>
        </w:tc>
      </w:tr>
      <w:tr w:rsidR="004D6EB5" w:rsidRPr="00B42595" w14:paraId="6E56BFC5" w14:textId="77777777" w:rsidTr="00F77F8A">
        <w:tc>
          <w:tcPr>
            <w:tcW w:w="5364" w:type="dxa"/>
            <w:shd w:val="clear" w:color="auto" w:fill="auto"/>
          </w:tcPr>
          <w:p w14:paraId="056C3C4D"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Усього активів</w:t>
            </w:r>
          </w:p>
        </w:tc>
        <w:tc>
          <w:tcPr>
            <w:tcW w:w="1696" w:type="dxa"/>
            <w:shd w:val="clear" w:color="auto" w:fill="auto"/>
          </w:tcPr>
          <w:p w14:paraId="300E2E4B" w14:textId="57FF3EA8" w:rsidR="004D6EB5" w:rsidRPr="005C1795" w:rsidRDefault="00AA584E" w:rsidP="00F77F8A">
            <w:pPr>
              <w:rPr>
                <w:rFonts w:ascii="Times New Roman" w:hAnsi="Times New Roman" w:cs="Times New Roman"/>
              </w:rPr>
            </w:pPr>
            <w:r>
              <w:rPr>
                <w:rFonts w:ascii="Times New Roman" w:hAnsi="Times New Roman" w:cs="Times New Roman"/>
              </w:rPr>
              <w:t>4582</w:t>
            </w:r>
          </w:p>
          <w:p w14:paraId="2452022F" w14:textId="03B0C8A6" w:rsidR="00894E0C" w:rsidRPr="005C1795" w:rsidRDefault="00894E0C" w:rsidP="00F77F8A">
            <w:pPr>
              <w:rPr>
                <w:rFonts w:ascii="Times New Roman" w:hAnsi="Times New Roman" w:cs="Times New Roman"/>
              </w:rPr>
            </w:pPr>
          </w:p>
        </w:tc>
        <w:tc>
          <w:tcPr>
            <w:tcW w:w="2120" w:type="dxa"/>
            <w:shd w:val="clear" w:color="auto" w:fill="auto"/>
          </w:tcPr>
          <w:p w14:paraId="792A7EFE" w14:textId="65F0A59D" w:rsidR="004D6EB5" w:rsidRPr="005C1795" w:rsidRDefault="00AA584E" w:rsidP="00F77F8A">
            <w:pPr>
              <w:rPr>
                <w:rFonts w:ascii="Times New Roman" w:hAnsi="Times New Roman" w:cs="Times New Roman"/>
              </w:rPr>
            </w:pPr>
            <w:r>
              <w:rPr>
                <w:rFonts w:ascii="Times New Roman" w:hAnsi="Times New Roman" w:cs="Times New Roman"/>
              </w:rPr>
              <w:t>4311</w:t>
            </w:r>
          </w:p>
        </w:tc>
      </w:tr>
      <w:tr w:rsidR="004D6EB5" w:rsidRPr="00B42595" w14:paraId="37ABFF89" w14:textId="77777777" w:rsidTr="00F77F8A">
        <w:tc>
          <w:tcPr>
            <w:tcW w:w="5364" w:type="dxa"/>
            <w:shd w:val="clear" w:color="auto" w:fill="auto"/>
          </w:tcPr>
          <w:p w14:paraId="1107DF2E" w14:textId="2B12D09C" w:rsidR="004D6EB5" w:rsidRPr="00B42595" w:rsidRDefault="004D6EB5" w:rsidP="00F77F8A">
            <w:pPr>
              <w:rPr>
                <w:rFonts w:ascii="Times New Roman" w:hAnsi="Times New Roman" w:cs="Times New Roman"/>
              </w:rPr>
            </w:pPr>
            <w:r w:rsidRPr="00B42595">
              <w:rPr>
                <w:rFonts w:ascii="Times New Roman" w:hAnsi="Times New Roman" w:cs="Times New Roman"/>
              </w:rPr>
              <w:t>Основні засоби (за залишковою вартістю)</w:t>
            </w:r>
          </w:p>
        </w:tc>
        <w:tc>
          <w:tcPr>
            <w:tcW w:w="1696" w:type="dxa"/>
            <w:shd w:val="clear" w:color="auto" w:fill="auto"/>
          </w:tcPr>
          <w:p w14:paraId="7609AFDD" w14:textId="30A09F6C" w:rsidR="004D6EB5" w:rsidRPr="005C1795" w:rsidRDefault="00AA584E" w:rsidP="00F77F8A">
            <w:pPr>
              <w:rPr>
                <w:rFonts w:ascii="Times New Roman" w:hAnsi="Times New Roman" w:cs="Times New Roman"/>
              </w:rPr>
            </w:pPr>
            <w:r>
              <w:rPr>
                <w:rFonts w:ascii="Times New Roman" w:hAnsi="Times New Roman" w:cs="Times New Roman"/>
              </w:rPr>
              <w:t>1416</w:t>
            </w:r>
          </w:p>
        </w:tc>
        <w:tc>
          <w:tcPr>
            <w:tcW w:w="2120" w:type="dxa"/>
            <w:shd w:val="clear" w:color="auto" w:fill="auto"/>
          </w:tcPr>
          <w:p w14:paraId="6CACAE6A" w14:textId="2621A138" w:rsidR="004D6EB5" w:rsidRPr="005C1795" w:rsidRDefault="00AA584E" w:rsidP="00F77F8A">
            <w:pPr>
              <w:rPr>
                <w:rFonts w:ascii="Times New Roman" w:hAnsi="Times New Roman" w:cs="Times New Roman"/>
              </w:rPr>
            </w:pPr>
            <w:r>
              <w:rPr>
                <w:rFonts w:ascii="Times New Roman" w:hAnsi="Times New Roman" w:cs="Times New Roman"/>
              </w:rPr>
              <w:t>1590</w:t>
            </w:r>
          </w:p>
        </w:tc>
      </w:tr>
      <w:tr w:rsidR="004D6EB5" w:rsidRPr="00B42595" w14:paraId="23B75982" w14:textId="77777777" w:rsidTr="00F77F8A">
        <w:tc>
          <w:tcPr>
            <w:tcW w:w="5364" w:type="dxa"/>
            <w:shd w:val="clear" w:color="auto" w:fill="auto"/>
          </w:tcPr>
          <w:p w14:paraId="5C76FB51"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Запаси</w:t>
            </w:r>
          </w:p>
        </w:tc>
        <w:tc>
          <w:tcPr>
            <w:tcW w:w="1696" w:type="dxa"/>
            <w:shd w:val="clear" w:color="auto" w:fill="auto"/>
          </w:tcPr>
          <w:p w14:paraId="5B943661" w14:textId="6600AAE6" w:rsidR="004D6EB5" w:rsidRPr="005C1795" w:rsidRDefault="00C619AE" w:rsidP="00F77F8A">
            <w:pPr>
              <w:rPr>
                <w:rFonts w:ascii="Times New Roman" w:hAnsi="Times New Roman" w:cs="Times New Roman"/>
              </w:rPr>
            </w:pPr>
            <w:r>
              <w:rPr>
                <w:rFonts w:ascii="Times New Roman" w:hAnsi="Times New Roman" w:cs="Times New Roman"/>
              </w:rPr>
              <w:t>2603</w:t>
            </w:r>
          </w:p>
        </w:tc>
        <w:tc>
          <w:tcPr>
            <w:tcW w:w="2120" w:type="dxa"/>
            <w:shd w:val="clear" w:color="auto" w:fill="auto"/>
          </w:tcPr>
          <w:p w14:paraId="5FF70CEA" w14:textId="6DDDBE64" w:rsidR="004D6EB5" w:rsidRPr="005C1795" w:rsidRDefault="00C619AE" w:rsidP="00F77F8A">
            <w:pPr>
              <w:rPr>
                <w:rFonts w:ascii="Times New Roman" w:hAnsi="Times New Roman" w:cs="Times New Roman"/>
              </w:rPr>
            </w:pPr>
            <w:r>
              <w:rPr>
                <w:rFonts w:ascii="Times New Roman" w:hAnsi="Times New Roman" w:cs="Times New Roman"/>
              </w:rPr>
              <w:t>1760</w:t>
            </w:r>
          </w:p>
        </w:tc>
      </w:tr>
      <w:tr w:rsidR="004D6EB5" w:rsidRPr="00B42595" w14:paraId="1887EFBE" w14:textId="77777777" w:rsidTr="00F77F8A">
        <w:tc>
          <w:tcPr>
            <w:tcW w:w="5364" w:type="dxa"/>
            <w:shd w:val="clear" w:color="auto" w:fill="auto"/>
          </w:tcPr>
          <w:p w14:paraId="4BF1844D"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Сумарна дебіторська заборгованість</w:t>
            </w:r>
          </w:p>
        </w:tc>
        <w:tc>
          <w:tcPr>
            <w:tcW w:w="1696" w:type="dxa"/>
            <w:shd w:val="clear" w:color="auto" w:fill="auto"/>
          </w:tcPr>
          <w:p w14:paraId="0B6D6108" w14:textId="76D09C22" w:rsidR="004D6EB5" w:rsidRPr="005C1795" w:rsidRDefault="00170EEB" w:rsidP="00F77F8A">
            <w:pPr>
              <w:rPr>
                <w:rFonts w:ascii="Times New Roman" w:hAnsi="Times New Roman" w:cs="Times New Roman"/>
              </w:rPr>
            </w:pPr>
            <w:r>
              <w:rPr>
                <w:rFonts w:ascii="Times New Roman" w:hAnsi="Times New Roman" w:cs="Times New Roman"/>
              </w:rPr>
              <w:t>79</w:t>
            </w:r>
          </w:p>
        </w:tc>
        <w:tc>
          <w:tcPr>
            <w:tcW w:w="2120" w:type="dxa"/>
            <w:shd w:val="clear" w:color="auto" w:fill="auto"/>
          </w:tcPr>
          <w:p w14:paraId="7E302853" w14:textId="51130F24" w:rsidR="004D6EB5" w:rsidRPr="005C1795" w:rsidRDefault="00170EEB" w:rsidP="00F77F8A">
            <w:pPr>
              <w:rPr>
                <w:rFonts w:ascii="Times New Roman" w:hAnsi="Times New Roman" w:cs="Times New Roman"/>
              </w:rPr>
            </w:pPr>
            <w:r>
              <w:rPr>
                <w:rFonts w:ascii="Times New Roman" w:hAnsi="Times New Roman" w:cs="Times New Roman"/>
              </w:rPr>
              <w:t>203</w:t>
            </w:r>
          </w:p>
        </w:tc>
      </w:tr>
      <w:tr w:rsidR="004D6EB5" w:rsidRPr="00B42595" w14:paraId="22E1EE8F" w14:textId="77777777" w:rsidTr="00F77F8A">
        <w:tc>
          <w:tcPr>
            <w:tcW w:w="5364" w:type="dxa"/>
            <w:shd w:val="clear" w:color="auto" w:fill="auto"/>
          </w:tcPr>
          <w:p w14:paraId="3204FB9B"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Грошові кошти та їх еквіваленти</w:t>
            </w:r>
          </w:p>
        </w:tc>
        <w:tc>
          <w:tcPr>
            <w:tcW w:w="1696" w:type="dxa"/>
            <w:shd w:val="clear" w:color="auto" w:fill="auto"/>
          </w:tcPr>
          <w:p w14:paraId="043529E7" w14:textId="15EF660A" w:rsidR="004D6EB5" w:rsidRPr="005C1795" w:rsidRDefault="00C619AE" w:rsidP="00F77F8A">
            <w:pPr>
              <w:rPr>
                <w:rFonts w:ascii="Times New Roman" w:hAnsi="Times New Roman" w:cs="Times New Roman"/>
              </w:rPr>
            </w:pPr>
            <w:r>
              <w:rPr>
                <w:rFonts w:ascii="Times New Roman" w:hAnsi="Times New Roman" w:cs="Times New Roman"/>
              </w:rPr>
              <w:t>52</w:t>
            </w:r>
          </w:p>
        </w:tc>
        <w:tc>
          <w:tcPr>
            <w:tcW w:w="2120" w:type="dxa"/>
            <w:shd w:val="clear" w:color="auto" w:fill="auto"/>
          </w:tcPr>
          <w:p w14:paraId="06952610" w14:textId="7CAA89BC" w:rsidR="004D6EB5" w:rsidRPr="005C1795" w:rsidRDefault="00C619AE" w:rsidP="00F77F8A">
            <w:pPr>
              <w:rPr>
                <w:rFonts w:ascii="Times New Roman" w:hAnsi="Times New Roman" w:cs="Times New Roman"/>
              </w:rPr>
            </w:pPr>
            <w:r>
              <w:rPr>
                <w:rFonts w:ascii="Times New Roman" w:hAnsi="Times New Roman" w:cs="Times New Roman"/>
              </w:rPr>
              <w:t>231</w:t>
            </w:r>
          </w:p>
        </w:tc>
      </w:tr>
      <w:tr w:rsidR="004D6EB5" w:rsidRPr="00B42595" w14:paraId="000282E9" w14:textId="77777777" w:rsidTr="00F77F8A">
        <w:tc>
          <w:tcPr>
            <w:tcW w:w="5364" w:type="dxa"/>
            <w:shd w:val="clear" w:color="auto" w:fill="auto"/>
          </w:tcPr>
          <w:p w14:paraId="5089A702"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Нерозподілений прибуток (нерозподілений збиток)</w:t>
            </w:r>
          </w:p>
        </w:tc>
        <w:tc>
          <w:tcPr>
            <w:tcW w:w="1696" w:type="dxa"/>
            <w:shd w:val="clear" w:color="auto" w:fill="auto"/>
          </w:tcPr>
          <w:p w14:paraId="4BD8E75F" w14:textId="74C0B198" w:rsidR="004D6EB5" w:rsidRPr="005C1795" w:rsidRDefault="00C619AE" w:rsidP="00894E0C">
            <w:pPr>
              <w:rPr>
                <w:rFonts w:ascii="Times New Roman" w:hAnsi="Times New Roman" w:cs="Times New Roman"/>
              </w:rPr>
            </w:pPr>
            <w:r>
              <w:rPr>
                <w:rFonts w:ascii="Times New Roman" w:hAnsi="Times New Roman" w:cs="Times New Roman"/>
              </w:rPr>
              <w:t>-2995</w:t>
            </w:r>
          </w:p>
        </w:tc>
        <w:tc>
          <w:tcPr>
            <w:tcW w:w="2120" w:type="dxa"/>
            <w:shd w:val="clear" w:color="auto" w:fill="auto"/>
          </w:tcPr>
          <w:p w14:paraId="5B30F3B6" w14:textId="145A1C40" w:rsidR="004D6EB5" w:rsidRPr="005C1795" w:rsidRDefault="004D6EB5" w:rsidP="00C619AE">
            <w:pPr>
              <w:rPr>
                <w:rFonts w:ascii="Times New Roman" w:hAnsi="Times New Roman" w:cs="Times New Roman"/>
              </w:rPr>
            </w:pPr>
            <w:r w:rsidRPr="005C1795">
              <w:rPr>
                <w:rFonts w:ascii="Times New Roman" w:hAnsi="Times New Roman" w:cs="Times New Roman"/>
              </w:rPr>
              <w:t>-</w:t>
            </w:r>
            <w:r w:rsidR="00C619AE">
              <w:rPr>
                <w:rFonts w:ascii="Times New Roman" w:hAnsi="Times New Roman" w:cs="Times New Roman"/>
              </w:rPr>
              <w:t>3096</w:t>
            </w:r>
          </w:p>
        </w:tc>
      </w:tr>
      <w:tr w:rsidR="004D6EB5" w:rsidRPr="00B42595" w14:paraId="1547644D" w14:textId="77777777" w:rsidTr="00F77F8A">
        <w:tc>
          <w:tcPr>
            <w:tcW w:w="5364" w:type="dxa"/>
            <w:shd w:val="clear" w:color="auto" w:fill="auto"/>
          </w:tcPr>
          <w:p w14:paraId="7B64C66F"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Власний капітал</w:t>
            </w:r>
          </w:p>
        </w:tc>
        <w:tc>
          <w:tcPr>
            <w:tcW w:w="1696" w:type="dxa"/>
            <w:shd w:val="clear" w:color="auto" w:fill="auto"/>
          </w:tcPr>
          <w:p w14:paraId="641D8D74" w14:textId="42C3CECF" w:rsidR="004D6EB5" w:rsidRPr="005C1795" w:rsidRDefault="00C619AE" w:rsidP="00F77F8A">
            <w:pPr>
              <w:rPr>
                <w:rFonts w:ascii="Times New Roman" w:hAnsi="Times New Roman" w:cs="Times New Roman"/>
              </w:rPr>
            </w:pPr>
            <w:r>
              <w:rPr>
                <w:rFonts w:ascii="Times New Roman" w:hAnsi="Times New Roman" w:cs="Times New Roman"/>
              </w:rPr>
              <w:t>-2495</w:t>
            </w:r>
          </w:p>
        </w:tc>
        <w:tc>
          <w:tcPr>
            <w:tcW w:w="2120" w:type="dxa"/>
            <w:shd w:val="clear" w:color="auto" w:fill="auto"/>
          </w:tcPr>
          <w:p w14:paraId="5CC88FF4" w14:textId="2BD69C31" w:rsidR="004D6EB5" w:rsidRPr="005C1795" w:rsidRDefault="00C619AE" w:rsidP="00F77F8A">
            <w:pPr>
              <w:rPr>
                <w:rFonts w:ascii="Times New Roman" w:hAnsi="Times New Roman" w:cs="Times New Roman"/>
              </w:rPr>
            </w:pPr>
            <w:r>
              <w:rPr>
                <w:rFonts w:ascii="Times New Roman" w:hAnsi="Times New Roman" w:cs="Times New Roman"/>
              </w:rPr>
              <w:t>-2596</w:t>
            </w:r>
          </w:p>
        </w:tc>
      </w:tr>
      <w:tr w:rsidR="004D6EB5" w:rsidRPr="00B42595" w14:paraId="0640ABB3" w14:textId="77777777" w:rsidTr="00F77F8A">
        <w:tc>
          <w:tcPr>
            <w:tcW w:w="5364" w:type="dxa"/>
            <w:shd w:val="clear" w:color="auto" w:fill="auto"/>
          </w:tcPr>
          <w:p w14:paraId="6EDF9D96"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Зареєстрований Статутний капітал</w:t>
            </w:r>
          </w:p>
        </w:tc>
        <w:tc>
          <w:tcPr>
            <w:tcW w:w="1696" w:type="dxa"/>
            <w:shd w:val="clear" w:color="auto" w:fill="auto"/>
          </w:tcPr>
          <w:p w14:paraId="13AD6580"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500,0</w:t>
            </w:r>
          </w:p>
        </w:tc>
        <w:tc>
          <w:tcPr>
            <w:tcW w:w="2120" w:type="dxa"/>
            <w:shd w:val="clear" w:color="auto" w:fill="auto"/>
          </w:tcPr>
          <w:p w14:paraId="7E1BA973" w14:textId="77777777" w:rsidR="004D6EB5" w:rsidRPr="005C1795" w:rsidRDefault="004D6EB5" w:rsidP="00F77F8A">
            <w:pPr>
              <w:rPr>
                <w:rFonts w:ascii="Times New Roman" w:hAnsi="Times New Roman" w:cs="Times New Roman"/>
              </w:rPr>
            </w:pPr>
            <w:r w:rsidRPr="005C1795">
              <w:rPr>
                <w:rFonts w:ascii="Times New Roman" w:hAnsi="Times New Roman" w:cs="Times New Roman"/>
              </w:rPr>
              <w:t>500,0</w:t>
            </w:r>
          </w:p>
        </w:tc>
      </w:tr>
      <w:tr w:rsidR="004D6EB5" w:rsidRPr="00B42595" w14:paraId="1B336688" w14:textId="77777777" w:rsidTr="00F77F8A">
        <w:tc>
          <w:tcPr>
            <w:tcW w:w="5364" w:type="dxa"/>
            <w:shd w:val="clear" w:color="auto" w:fill="auto"/>
          </w:tcPr>
          <w:p w14:paraId="7A079C82"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Довгострокові зобов'язання і забезпечення</w:t>
            </w:r>
          </w:p>
        </w:tc>
        <w:tc>
          <w:tcPr>
            <w:tcW w:w="1696" w:type="dxa"/>
            <w:shd w:val="clear" w:color="auto" w:fill="auto"/>
          </w:tcPr>
          <w:p w14:paraId="110C270F" w14:textId="61AAE877" w:rsidR="004D6EB5" w:rsidRPr="005C1795" w:rsidRDefault="00C619AE" w:rsidP="00F77F8A">
            <w:pPr>
              <w:rPr>
                <w:rFonts w:ascii="Times New Roman" w:hAnsi="Times New Roman" w:cs="Times New Roman"/>
              </w:rPr>
            </w:pPr>
            <w:r>
              <w:rPr>
                <w:rFonts w:ascii="Times New Roman" w:hAnsi="Times New Roman" w:cs="Times New Roman"/>
              </w:rPr>
              <w:t>634</w:t>
            </w:r>
          </w:p>
        </w:tc>
        <w:tc>
          <w:tcPr>
            <w:tcW w:w="2120" w:type="dxa"/>
            <w:shd w:val="clear" w:color="auto" w:fill="auto"/>
          </w:tcPr>
          <w:p w14:paraId="1A43196F" w14:textId="7A30E1FB" w:rsidR="004D6EB5" w:rsidRPr="005C1795" w:rsidRDefault="00C619AE" w:rsidP="00F77F8A">
            <w:pPr>
              <w:rPr>
                <w:rFonts w:ascii="Times New Roman" w:hAnsi="Times New Roman" w:cs="Times New Roman"/>
              </w:rPr>
            </w:pPr>
            <w:r>
              <w:rPr>
                <w:rFonts w:ascii="Times New Roman" w:hAnsi="Times New Roman" w:cs="Times New Roman"/>
              </w:rPr>
              <w:t>585</w:t>
            </w:r>
          </w:p>
        </w:tc>
      </w:tr>
      <w:tr w:rsidR="004D6EB5" w:rsidRPr="00B42595" w14:paraId="03970708" w14:textId="77777777" w:rsidTr="00F77F8A">
        <w:tc>
          <w:tcPr>
            <w:tcW w:w="5364" w:type="dxa"/>
            <w:shd w:val="clear" w:color="auto" w:fill="auto"/>
          </w:tcPr>
          <w:p w14:paraId="1DF13385"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Поточні зобов'язання і забезпечення</w:t>
            </w:r>
          </w:p>
        </w:tc>
        <w:tc>
          <w:tcPr>
            <w:tcW w:w="1696" w:type="dxa"/>
            <w:shd w:val="clear" w:color="auto" w:fill="auto"/>
          </w:tcPr>
          <w:p w14:paraId="49522D10" w14:textId="3471DE0E" w:rsidR="004D6EB5" w:rsidRPr="005C1795" w:rsidRDefault="00170EEB" w:rsidP="00F77F8A">
            <w:pPr>
              <w:rPr>
                <w:rFonts w:ascii="Times New Roman" w:hAnsi="Times New Roman" w:cs="Times New Roman"/>
              </w:rPr>
            </w:pPr>
            <w:r>
              <w:rPr>
                <w:rFonts w:ascii="Times New Roman" w:hAnsi="Times New Roman" w:cs="Times New Roman"/>
              </w:rPr>
              <w:t>6443</w:t>
            </w:r>
          </w:p>
        </w:tc>
        <w:tc>
          <w:tcPr>
            <w:tcW w:w="2120" w:type="dxa"/>
            <w:shd w:val="clear" w:color="auto" w:fill="auto"/>
          </w:tcPr>
          <w:p w14:paraId="70979E0B" w14:textId="05D7E4CB" w:rsidR="00894E0C" w:rsidRPr="005C1795" w:rsidRDefault="00170EEB" w:rsidP="00894E0C">
            <w:pPr>
              <w:rPr>
                <w:rFonts w:ascii="Times New Roman" w:hAnsi="Times New Roman" w:cs="Times New Roman"/>
              </w:rPr>
            </w:pPr>
            <w:r>
              <w:rPr>
                <w:rFonts w:ascii="Times New Roman" w:hAnsi="Times New Roman" w:cs="Times New Roman"/>
              </w:rPr>
              <w:t>6322</w:t>
            </w:r>
          </w:p>
        </w:tc>
      </w:tr>
      <w:tr w:rsidR="004D6EB5" w:rsidRPr="00B42595" w14:paraId="79AC5D47" w14:textId="77777777" w:rsidTr="00F77F8A">
        <w:tc>
          <w:tcPr>
            <w:tcW w:w="5364" w:type="dxa"/>
            <w:shd w:val="clear" w:color="auto" w:fill="auto"/>
          </w:tcPr>
          <w:p w14:paraId="53F57B46" w14:textId="35B17212" w:rsidR="004D6EB5" w:rsidRPr="00B42595" w:rsidRDefault="004D6EB5" w:rsidP="00F77F8A">
            <w:pPr>
              <w:rPr>
                <w:rFonts w:ascii="Times New Roman" w:hAnsi="Times New Roman" w:cs="Times New Roman"/>
              </w:rPr>
            </w:pPr>
            <w:r w:rsidRPr="00B42595">
              <w:rPr>
                <w:rFonts w:ascii="Times New Roman" w:hAnsi="Times New Roman" w:cs="Times New Roman"/>
              </w:rPr>
              <w:t>Чистий фінансовий результат: прибуток (збиток)</w:t>
            </w:r>
          </w:p>
        </w:tc>
        <w:tc>
          <w:tcPr>
            <w:tcW w:w="1696" w:type="dxa"/>
            <w:shd w:val="clear" w:color="auto" w:fill="auto"/>
          </w:tcPr>
          <w:p w14:paraId="0B86FD35" w14:textId="231D1534" w:rsidR="004D6EB5" w:rsidRPr="005C1795" w:rsidRDefault="00AA584E" w:rsidP="00F77F8A">
            <w:pPr>
              <w:rPr>
                <w:rFonts w:ascii="Times New Roman" w:hAnsi="Times New Roman" w:cs="Times New Roman"/>
              </w:rPr>
            </w:pPr>
            <w:r>
              <w:rPr>
                <w:rFonts w:ascii="Times New Roman" w:hAnsi="Times New Roman" w:cs="Times New Roman"/>
              </w:rPr>
              <w:t>101</w:t>
            </w:r>
          </w:p>
        </w:tc>
        <w:tc>
          <w:tcPr>
            <w:tcW w:w="2120" w:type="dxa"/>
            <w:shd w:val="clear" w:color="auto" w:fill="auto"/>
          </w:tcPr>
          <w:p w14:paraId="54AC8663" w14:textId="0E0CAC1B" w:rsidR="004D6EB5" w:rsidRPr="005C1795" w:rsidRDefault="00AA584E" w:rsidP="00F77F8A">
            <w:pPr>
              <w:rPr>
                <w:rFonts w:ascii="Times New Roman" w:hAnsi="Times New Roman" w:cs="Times New Roman"/>
              </w:rPr>
            </w:pPr>
            <w:r>
              <w:rPr>
                <w:rFonts w:ascii="Times New Roman" w:hAnsi="Times New Roman" w:cs="Times New Roman"/>
              </w:rPr>
              <w:t>152</w:t>
            </w:r>
          </w:p>
        </w:tc>
      </w:tr>
      <w:tr w:rsidR="004D6EB5" w:rsidRPr="00B42595" w14:paraId="006B4C30" w14:textId="77777777" w:rsidTr="00F77F8A">
        <w:tc>
          <w:tcPr>
            <w:tcW w:w="5364" w:type="dxa"/>
            <w:shd w:val="clear" w:color="auto" w:fill="auto"/>
          </w:tcPr>
          <w:p w14:paraId="64835A69"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Середньорічна кількість акцій (шт.)</w:t>
            </w:r>
          </w:p>
        </w:tc>
        <w:tc>
          <w:tcPr>
            <w:tcW w:w="1696" w:type="dxa"/>
            <w:shd w:val="clear" w:color="auto" w:fill="auto"/>
          </w:tcPr>
          <w:p w14:paraId="1E306475" w14:textId="1FF30E65" w:rsidR="004D6EB5" w:rsidRPr="005C1795" w:rsidRDefault="004D6EB5" w:rsidP="00F77F8A">
            <w:pPr>
              <w:rPr>
                <w:rFonts w:ascii="Times New Roman" w:hAnsi="Times New Roman" w:cs="Times New Roman"/>
              </w:rPr>
            </w:pPr>
            <w:r w:rsidRPr="005C1795">
              <w:rPr>
                <w:rFonts w:ascii="Times New Roman" w:hAnsi="Times New Roman" w:cs="Times New Roman"/>
              </w:rPr>
              <w:t>2</w:t>
            </w:r>
            <w:r w:rsidR="00684F09">
              <w:rPr>
                <w:rFonts w:ascii="Times New Roman" w:hAnsi="Times New Roman" w:cs="Times New Roman"/>
              </w:rPr>
              <w:t> </w:t>
            </w:r>
            <w:r w:rsidRPr="005C1795">
              <w:rPr>
                <w:rFonts w:ascii="Times New Roman" w:hAnsi="Times New Roman" w:cs="Times New Roman"/>
              </w:rPr>
              <w:t>500</w:t>
            </w:r>
            <w:r w:rsidR="00684F09">
              <w:rPr>
                <w:rFonts w:ascii="Times New Roman" w:hAnsi="Times New Roman" w:cs="Times New Roman"/>
              </w:rPr>
              <w:t xml:space="preserve"> </w:t>
            </w:r>
            <w:r w:rsidRPr="005C1795">
              <w:rPr>
                <w:rFonts w:ascii="Times New Roman" w:hAnsi="Times New Roman" w:cs="Times New Roman"/>
              </w:rPr>
              <w:t>000</w:t>
            </w:r>
          </w:p>
        </w:tc>
        <w:tc>
          <w:tcPr>
            <w:tcW w:w="2120" w:type="dxa"/>
            <w:shd w:val="clear" w:color="auto" w:fill="auto"/>
          </w:tcPr>
          <w:p w14:paraId="418AAF13" w14:textId="1E14B995" w:rsidR="004D6EB5" w:rsidRPr="005C1795" w:rsidRDefault="004D6EB5" w:rsidP="00F77F8A">
            <w:pPr>
              <w:rPr>
                <w:rFonts w:ascii="Times New Roman" w:hAnsi="Times New Roman" w:cs="Times New Roman"/>
              </w:rPr>
            </w:pPr>
            <w:r w:rsidRPr="005C1795">
              <w:rPr>
                <w:rFonts w:ascii="Times New Roman" w:hAnsi="Times New Roman" w:cs="Times New Roman"/>
              </w:rPr>
              <w:t>2</w:t>
            </w:r>
            <w:r w:rsidR="00684F09">
              <w:rPr>
                <w:rFonts w:ascii="Times New Roman" w:hAnsi="Times New Roman" w:cs="Times New Roman"/>
              </w:rPr>
              <w:t> </w:t>
            </w:r>
            <w:r w:rsidRPr="005C1795">
              <w:rPr>
                <w:rFonts w:ascii="Times New Roman" w:hAnsi="Times New Roman" w:cs="Times New Roman"/>
              </w:rPr>
              <w:t>500</w:t>
            </w:r>
            <w:r w:rsidR="00684F09">
              <w:rPr>
                <w:rFonts w:ascii="Times New Roman" w:hAnsi="Times New Roman" w:cs="Times New Roman"/>
              </w:rPr>
              <w:t xml:space="preserve"> </w:t>
            </w:r>
            <w:r w:rsidRPr="005C1795">
              <w:rPr>
                <w:rFonts w:ascii="Times New Roman" w:hAnsi="Times New Roman" w:cs="Times New Roman"/>
              </w:rPr>
              <w:t>000</w:t>
            </w:r>
          </w:p>
        </w:tc>
      </w:tr>
      <w:tr w:rsidR="004D6EB5" w:rsidRPr="00B42595" w14:paraId="437946B2" w14:textId="77777777" w:rsidTr="00F77F8A">
        <w:tc>
          <w:tcPr>
            <w:tcW w:w="5364" w:type="dxa"/>
            <w:shd w:val="clear" w:color="auto" w:fill="auto"/>
          </w:tcPr>
          <w:p w14:paraId="2F569093" w14:textId="77777777" w:rsidR="004D6EB5" w:rsidRPr="00B42595" w:rsidRDefault="004D6EB5" w:rsidP="00F77F8A">
            <w:pPr>
              <w:rPr>
                <w:rFonts w:ascii="Times New Roman" w:hAnsi="Times New Roman" w:cs="Times New Roman"/>
              </w:rPr>
            </w:pPr>
            <w:r w:rsidRPr="00B42595">
              <w:rPr>
                <w:rFonts w:ascii="Times New Roman" w:hAnsi="Times New Roman" w:cs="Times New Roman"/>
              </w:rPr>
              <w:t>Чистий прибуток (збиток) на одну просту акцію (грн.)</w:t>
            </w:r>
          </w:p>
        </w:tc>
        <w:tc>
          <w:tcPr>
            <w:tcW w:w="1696" w:type="dxa"/>
            <w:shd w:val="clear" w:color="auto" w:fill="auto"/>
          </w:tcPr>
          <w:p w14:paraId="26F527A7" w14:textId="209E7FFC" w:rsidR="004D6EB5" w:rsidRPr="005C1795" w:rsidRDefault="004D6EB5" w:rsidP="00684F09">
            <w:pPr>
              <w:rPr>
                <w:rFonts w:ascii="Times New Roman" w:hAnsi="Times New Roman" w:cs="Times New Roman"/>
              </w:rPr>
            </w:pPr>
            <w:r w:rsidRPr="005C1795">
              <w:rPr>
                <w:rFonts w:ascii="Times New Roman" w:hAnsi="Times New Roman" w:cs="Times New Roman"/>
              </w:rPr>
              <w:t>0,</w:t>
            </w:r>
            <w:r w:rsidR="00684F09">
              <w:rPr>
                <w:rFonts w:ascii="Times New Roman" w:hAnsi="Times New Roman" w:cs="Times New Roman"/>
              </w:rPr>
              <w:t>0404</w:t>
            </w:r>
          </w:p>
        </w:tc>
        <w:tc>
          <w:tcPr>
            <w:tcW w:w="2120" w:type="dxa"/>
            <w:shd w:val="clear" w:color="auto" w:fill="auto"/>
          </w:tcPr>
          <w:p w14:paraId="25FF0541" w14:textId="5DFC2A6D" w:rsidR="004D6EB5" w:rsidRPr="005C1795" w:rsidRDefault="004D6EB5" w:rsidP="00684F09">
            <w:pPr>
              <w:rPr>
                <w:rFonts w:ascii="Times New Roman" w:hAnsi="Times New Roman" w:cs="Times New Roman"/>
              </w:rPr>
            </w:pPr>
            <w:r w:rsidRPr="005C1795">
              <w:rPr>
                <w:rFonts w:ascii="Times New Roman" w:hAnsi="Times New Roman" w:cs="Times New Roman"/>
                <w:lang w:val="en-US"/>
              </w:rPr>
              <w:t>0</w:t>
            </w:r>
            <w:r w:rsidRPr="005C1795">
              <w:rPr>
                <w:rFonts w:ascii="Times New Roman" w:hAnsi="Times New Roman" w:cs="Times New Roman"/>
              </w:rPr>
              <w:t>,0</w:t>
            </w:r>
            <w:r w:rsidR="00684F09">
              <w:rPr>
                <w:rFonts w:ascii="Times New Roman" w:hAnsi="Times New Roman" w:cs="Times New Roman"/>
              </w:rPr>
              <w:t>608</w:t>
            </w:r>
          </w:p>
        </w:tc>
      </w:tr>
    </w:tbl>
    <w:p w14:paraId="1E9A0613" w14:textId="67EC5D11" w:rsidR="004A7530" w:rsidRPr="00B42595" w:rsidRDefault="004D6EB5" w:rsidP="004A7530">
      <w:pPr>
        <w:spacing w:after="0" w:line="240" w:lineRule="auto"/>
        <w:jc w:val="both"/>
        <w:rPr>
          <w:rFonts w:ascii="Times New Roman" w:hAnsi="Times New Roman" w:cs="Times New Roman"/>
        </w:rPr>
      </w:pPr>
      <w:r w:rsidRPr="00B42595">
        <w:rPr>
          <w:rFonts w:ascii="Times New Roman" w:hAnsi="Times New Roman" w:cs="Times New Roman"/>
        </w:rPr>
        <w:lastRenderedPageBreak/>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w:t>
      </w:r>
      <w:proofErr w:type="spellStart"/>
      <w:r w:rsidRPr="00B42595">
        <w:rPr>
          <w:rFonts w:ascii="Times New Roman" w:hAnsi="Times New Roman" w:cs="Times New Roman"/>
        </w:rPr>
        <w:t>ПрАТ</w:t>
      </w:r>
      <w:proofErr w:type="spellEnd"/>
      <w:r w:rsidRPr="00B42595">
        <w:rPr>
          <w:rFonts w:ascii="Times New Roman" w:hAnsi="Times New Roman" w:cs="Times New Roman"/>
        </w:rPr>
        <w:t xml:space="preserve"> «</w:t>
      </w:r>
      <w:proofErr w:type="spellStart"/>
      <w:r w:rsidRPr="00B42595">
        <w:rPr>
          <w:rFonts w:ascii="Times New Roman" w:hAnsi="Times New Roman" w:cs="Times New Roman"/>
        </w:rPr>
        <w:t>Дубрик</w:t>
      </w:r>
      <w:proofErr w:type="spellEnd"/>
      <w:r w:rsidRPr="00B42595">
        <w:rPr>
          <w:rFonts w:ascii="Times New Roman" w:hAnsi="Times New Roman" w:cs="Times New Roman"/>
        </w:rPr>
        <w:t xml:space="preserve">» за адресою: Рівненська обл., </w:t>
      </w:r>
      <w:proofErr w:type="spellStart"/>
      <w:r w:rsidRPr="00B42595">
        <w:rPr>
          <w:rFonts w:ascii="Times New Roman" w:hAnsi="Times New Roman" w:cs="Times New Roman"/>
        </w:rPr>
        <w:t>Дубенський</w:t>
      </w:r>
      <w:proofErr w:type="spellEnd"/>
      <w:r w:rsidRPr="00B42595">
        <w:rPr>
          <w:rFonts w:ascii="Times New Roman" w:hAnsi="Times New Roman" w:cs="Times New Roman"/>
        </w:rPr>
        <w:t xml:space="preserve"> р-н, с. </w:t>
      </w:r>
      <w:proofErr w:type="spellStart"/>
      <w:r w:rsidRPr="00B42595">
        <w:rPr>
          <w:rFonts w:ascii="Times New Roman" w:hAnsi="Times New Roman" w:cs="Times New Roman"/>
        </w:rPr>
        <w:t>Тараканів</w:t>
      </w:r>
      <w:proofErr w:type="spellEnd"/>
      <w:r w:rsidRPr="00B42595">
        <w:rPr>
          <w:rFonts w:ascii="Times New Roman" w:hAnsi="Times New Roman" w:cs="Times New Roman"/>
        </w:rPr>
        <w:t xml:space="preserve">, вул. Львівська, буд. 264., кабінет бухгалтерії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w:t>
      </w:r>
      <w:proofErr w:type="spellStart"/>
      <w:r w:rsidR="00D635B4">
        <w:rPr>
          <w:rFonts w:ascii="Times New Roman" w:hAnsi="Times New Roman" w:cs="Times New Roman"/>
          <w:lang w:val="ru-RU"/>
        </w:rPr>
        <w:t>фінансовий</w:t>
      </w:r>
      <w:proofErr w:type="spellEnd"/>
      <w:r w:rsidR="00D635B4">
        <w:rPr>
          <w:rFonts w:ascii="Times New Roman" w:hAnsi="Times New Roman" w:cs="Times New Roman"/>
          <w:lang w:val="ru-RU"/>
        </w:rPr>
        <w:t xml:space="preserve"> директор</w:t>
      </w:r>
      <w:r w:rsidRPr="00B42595">
        <w:rPr>
          <w:rFonts w:ascii="Times New Roman" w:hAnsi="Times New Roman" w:cs="Times New Roman"/>
          <w:lang w:val="ru-RU"/>
        </w:rPr>
        <w:t xml:space="preserve"> Дмитрук О.В.</w:t>
      </w:r>
      <w:r w:rsidRPr="00B42595">
        <w:rPr>
          <w:rFonts w:ascii="Times New Roman" w:hAnsi="Times New Roman" w:cs="Times New Roman"/>
        </w:rPr>
        <w:t>  (тел.: 0967903061). З питань порядку денного та організаційних питань проведення Загальних зборів звертатись до зазначеної уповноваженої особи. </w:t>
      </w:r>
      <w:r w:rsidRPr="00B42595">
        <w:rPr>
          <w:rFonts w:ascii="Times New Roman" w:hAnsi="Times New Roman" w:cs="Times New Roman"/>
          <w:lang w:eastAsia="uk-UA"/>
        </w:rPr>
        <w:t xml:space="preserve">Адреса </w:t>
      </w:r>
      <w:proofErr w:type="spellStart"/>
      <w:r w:rsidRPr="00B42595">
        <w:rPr>
          <w:rFonts w:ascii="Times New Roman" w:hAnsi="Times New Roman" w:cs="Times New Roman"/>
          <w:lang w:eastAsia="uk-UA"/>
        </w:rPr>
        <w:t>веб-сторінки</w:t>
      </w:r>
      <w:proofErr w:type="spellEnd"/>
      <w:r w:rsidRPr="00B42595">
        <w:rPr>
          <w:rFonts w:ascii="Times New Roman" w:hAnsi="Times New Roman" w:cs="Times New Roman"/>
          <w:lang w:eastAsia="uk-UA"/>
        </w:rPr>
        <w:t xml:space="preserve">, на якій розміщена інформація з проектом рішень до кожного з питань, включеного до проекту порядку денного: </w:t>
      </w:r>
      <w:proofErr w:type="spellStart"/>
      <w:r w:rsidRPr="00B42595">
        <w:rPr>
          <w:rFonts w:ascii="Times New Roman" w:hAnsi="Times New Roman" w:cs="Times New Roman"/>
          <w:lang w:val="en-US" w:eastAsia="uk-UA"/>
        </w:rPr>
        <w:t>dubryk</w:t>
      </w:r>
      <w:proofErr w:type="spellEnd"/>
      <w:r w:rsidRPr="00B42595">
        <w:rPr>
          <w:rFonts w:ascii="Times New Roman" w:hAnsi="Times New Roman" w:cs="Times New Roman"/>
          <w:lang w:eastAsia="uk-UA"/>
        </w:rPr>
        <w:t>.</w:t>
      </w:r>
      <w:r w:rsidRPr="00B42595">
        <w:rPr>
          <w:rFonts w:ascii="Times New Roman" w:hAnsi="Times New Roman" w:cs="Times New Roman"/>
          <w:lang w:val="en-US" w:eastAsia="uk-UA"/>
        </w:rPr>
        <w:t>pat</w:t>
      </w:r>
      <w:proofErr w:type="spellStart"/>
      <w:r w:rsidRPr="00B42595">
        <w:rPr>
          <w:rFonts w:ascii="Times New Roman" w:hAnsi="Times New Roman" w:cs="Times New Roman"/>
          <w:lang w:eastAsia="uk-UA"/>
        </w:rPr>
        <w:t>.ua</w:t>
      </w:r>
      <w:proofErr w:type="spellEnd"/>
      <w:r w:rsidRPr="00B42595">
        <w:rPr>
          <w:rFonts w:ascii="Times New Roman" w:hAnsi="Times New Roman" w:cs="Times New Roman"/>
          <w:lang w:eastAsia="uk-UA"/>
        </w:rPr>
        <w:t>.</w:t>
      </w:r>
    </w:p>
    <w:p w14:paraId="15E7DC2C" w14:textId="77777777"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 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14:paraId="7AF65295" w14:textId="77777777" w:rsidR="004A7530" w:rsidRPr="00B42595" w:rsidRDefault="004A7530" w:rsidP="004A7530">
      <w:pPr>
        <w:spacing w:after="0" w:line="240" w:lineRule="auto"/>
        <w:jc w:val="both"/>
        <w:rPr>
          <w:rFonts w:ascii="Times New Roman" w:hAnsi="Times New Roman" w:cs="Times New Roman"/>
        </w:rPr>
      </w:pPr>
      <w:r w:rsidRPr="00B42595">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56CB0CB9" w14:textId="77777777" w:rsidR="00E41CE0" w:rsidRDefault="004A7530" w:rsidP="004D6EB5">
      <w:pPr>
        <w:spacing w:after="0" w:line="240" w:lineRule="auto"/>
        <w:jc w:val="both"/>
        <w:rPr>
          <w:rFonts w:ascii="Times New Roman" w:hAnsi="Times New Roman" w:cs="Times New Roman"/>
        </w:rPr>
      </w:pPr>
      <w:r w:rsidRPr="00B42595">
        <w:rPr>
          <w:rFonts w:ascii="Times New Roman" w:hAnsi="Times New Roman" w:cs="Times New Roman"/>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B42595">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r w:rsidR="004D6EB5" w:rsidRPr="00B42595">
        <w:rPr>
          <w:rFonts w:ascii="Times New Roman" w:hAnsi="Times New Roman" w:cs="Times New Roman"/>
        </w:rPr>
        <w:t xml:space="preserve"> </w:t>
      </w:r>
    </w:p>
    <w:p w14:paraId="46B3F2F1" w14:textId="26EBFA3F" w:rsidR="00E41CE0" w:rsidRPr="001F5DC5" w:rsidRDefault="00E41CE0" w:rsidP="00E41CE0">
      <w:pPr>
        <w:ind w:firstLine="708"/>
        <w:jc w:val="both"/>
        <w:rPr>
          <w:rFonts w:ascii="Times New Roman" w:hAnsi="Times New Roman" w:cs="Times New Roman"/>
          <w:lang w:val="ru-RU"/>
        </w:rPr>
      </w:pPr>
      <w:r w:rsidRPr="00822F7E">
        <w:rPr>
          <w:rFonts w:ascii="Times New Roman" w:hAnsi="Times New Roman" w:cs="Times New Roman"/>
        </w:rPr>
        <w:t xml:space="preserve">Згідно з переліком осіб, яким надсилається повідомлення про проведення загальних зборів, складеним станом на </w:t>
      </w:r>
      <w:r w:rsidR="00D90D68">
        <w:rPr>
          <w:rFonts w:ascii="Times New Roman" w:hAnsi="Times New Roman" w:cs="Times New Roman"/>
          <w:lang w:val="ru-RU"/>
        </w:rPr>
        <w:t>19</w:t>
      </w:r>
      <w:r w:rsidR="00822F7E" w:rsidRPr="00822F7E">
        <w:rPr>
          <w:rFonts w:ascii="Times New Roman" w:hAnsi="Times New Roman" w:cs="Times New Roman"/>
        </w:rPr>
        <w:t>.</w:t>
      </w:r>
      <w:r w:rsidR="00D90D68">
        <w:rPr>
          <w:rFonts w:ascii="Times New Roman" w:hAnsi="Times New Roman" w:cs="Times New Roman"/>
          <w:lang w:val="ru-RU"/>
        </w:rPr>
        <w:t>03</w:t>
      </w:r>
      <w:r w:rsidR="00822F7E" w:rsidRPr="00822F7E">
        <w:rPr>
          <w:rFonts w:ascii="Times New Roman" w:hAnsi="Times New Roman" w:cs="Times New Roman"/>
        </w:rPr>
        <w:t>.</w:t>
      </w:r>
      <w:r w:rsidRPr="00822F7E">
        <w:rPr>
          <w:rFonts w:ascii="Times New Roman" w:hAnsi="Times New Roman" w:cs="Times New Roman"/>
        </w:rPr>
        <w:t>20</w:t>
      </w:r>
      <w:r w:rsidR="006B2303" w:rsidRPr="00822F7E">
        <w:rPr>
          <w:rFonts w:ascii="Times New Roman" w:hAnsi="Times New Roman" w:cs="Times New Roman"/>
        </w:rPr>
        <w:t>2</w:t>
      </w:r>
      <w:r w:rsidR="00D90D68">
        <w:rPr>
          <w:rFonts w:ascii="Times New Roman" w:hAnsi="Times New Roman" w:cs="Times New Roman"/>
        </w:rPr>
        <w:t>1</w:t>
      </w:r>
      <w:r w:rsidRPr="00822F7E">
        <w:rPr>
          <w:rFonts w:ascii="Times New Roman" w:hAnsi="Times New Roman" w:cs="Times New Roman"/>
        </w:rPr>
        <w:t xml:space="preserve"> року, загальна кількість простих іменних акцій Товариства становить </w:t>
      </w:r>
      <w:r w:rsidR="00822F7E">
        <w:rPr>
          <w:rFonts w:ascii="Times New Roman" w:hAnsi="Times New Roman" w:cs="Times New Roman"/>
        </w:rPr>
        <w:t>2500000</w:t>
      </w:r>
      <w:r w:rsidRPr="00822F7E">
        <w:rPr>
          <w:rFonts w:ascii="Times New Roman" w:hAnsi="Times New Roman" w:cs="Times New Roman"/>
        </w:rPr>
        <w:t xml:space="preserve"> штук, загальна</w:t>
      </w:r>
      <w:r w:rsidRPr="00822F7E">
        <w:rPr>
          <w:rFonts w:ascii="Times New Roman" w:hAnsi="Times New Roman" w:cs="Times New Roman"/>
          <w:lang w:val="ru-RU"/>
        </w:rPr>
        <w:t xml:space="preserve"> </w:t>
      </w:r>
      <w:r w:rsidRPr="00822F7E">
        <w:rPr>
          <w:rFonts w:ascii="Times New Roman" w:hAnsi="Times New Roman" w:cs="Times New Roman"/>
        </w:rPr>
        <w:t xml:space="preserve">кількість голосуючих іменних акцій Товариства становить </w:t>
      </w:r>
      <w:r w:rsidR="00822F7E">
        <w:rPr>
          <w:rFonts w:ascii="Times New Roman" w:hAnsi="Times New Roman" w:cs="Times New Roman"/>
        </w:rPr>
        <w:t>2499968</w:t>
      </w:r>
      <w:r w:rsidRPr="00822F7E">
        <w:rPr>
          <w:rFonts w:ascii="Times New Roman" w:hAnsi="Times New Roman" w:cs="Times New Roman"/>
        </w:rPr>
        <w:t xml:space="preserve"> штук</w:t>
      </w:r>
      <w:r w:rsidR="00822F7E">
        <w:rPr>
          <w:rFonts w:ascii="Times New Roman" w:hAnsi="Times New Roman" w:cs="Times New Roman"/>
        </w:rPr>
        <w:t>.</w:t>
      </w:r>
    </w:p>
    <w:p w14:paraId="007BEA4F" w14:textId="77777777" w:rsidR="000D0E75" w:rsidRPr="00D603DF" w:rsidRDefault="000D0E75" w:rsidP="004A7530">
      <w:pPr>
        <w:jc w:val="both"/>
        <w:rPr>
          <w:rFonts w:ascii="Times New Roman" w:hAnsi="Times New Roman" w:cs="Times New Roman"/>
          <w:lang w:val="ru-RU"/>
        </w:rPr>
      </w:pPr>
    </w:p>
    <w:p w14:paraId="2CD89B9D" w14:textId="77777777" w:rsidR="009C4F99" w:rsidRPr="00B42595" w:rsidRDefault="009C4F99">
      <w:pPr>
        <w:rPr>
          <w:rFonts w:ascii="Times New Roman" w:hAnsi="Times New Roman" w:cs="Times New Roman"/>
        </w:rPr>
      </w:pPr>
    </w:p>
    <w:sectPr w:rsidR="009C4F99" w:rsidRPr="00B42595" w:rsidSect="00ED1D5A">
      <w:pgSz w:w="11906" w:h="16838"/>
      <w:pgMar w:top="426"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4EA"/>
    <w:multiLevelType w:val="hybridMultilevel"/>
    <w:tmpl w:val="E3EA2306"/>
    <w:lvl w:ilvl="0" w:tplc="FED6FD36">
      <w:start w:val="1"/>
      <w:numFmt w:val="decimal"/>
      <w:lvlText w:val="%1."/>
      <w:lvlJc w:val="left"/>
      <w:pPr>
        <w:ind w:left="360" w:hanging="360"/>
      </w:pPr>
      <w:rPr>
        <w:i w:val="0"/>
        <w:i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6E257C"/>
    <w:multiLevelType w:val="multilevel"/>
    <w:tmpl w:val="C1C40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A7530"/>
    <w:rsid w:val="00087FF4"/>
    <w:rsid w:val="000D0E75"/>
    <w:rsid w:val="001124C0"/>
    <w:rsid w:val="00141189"/>
    <w:rsid w:val="00170EEB"/>
    <w:rsid w:val="00171610"/>
    <w:rsid w:val="001A6BA4"/>
    <w:rsid w:val="00283074"/>
    <w:rsid w:val="002A3B60"/>
    <w:rsid w:val="002E2979"/>
    <w:rsid w:val="0030566F"/>
    <w:rsid w:val="003332C6"/>
    <w:rsid w:val="003F1A21"/>
    <w:rsid w:val="00401A0E"/>
    <w:rsid w:val="004422D0"/>
    <w:rsid w:val="004A7530"/>
    <w:rsid w:val="004D6EB5"/>
    <w:rsid w:val="0051327C"/>
    <w:rsid w:val="005C1795"/>
    <w:rsid w:val="00684F09"/>
    <w:rsid w:val="006B2303"/>
    <w:rsid w:val="006D1718"/>
    <w:rsid w:val="00723E56"/>
    <w:rsid w:val="0075568D"/>
    <w:rsid w:val="00774331"/>
    <w:rsid w:val="00822F7E"/>
    <w:rsid w:val="0082458B"/>
    <w:rsid w:val="00826CF8"/>
    <w:rsid w:val="008311DD"/>
    <w:rsid w:val="00875E96"/>
    <w:rsid w:val="00894E0C"/>
    <w:rsid w:val="008E2095"/>
    <w:rsid w:val="009C4F99"/>
    <w:rsid w:val="00A2460F"/>
    <w:rsid w:val="00A36755"/>
    <w:rsid w:val="00A67DE4"/>
    <w:rsid w:val="00A8577A"/>
    <w:rsid w:val="00AA18C5"/>
    <w:rsid w:val="00AA584E"/>
    <w:rsid w:val="00AE5C20"/>
    <w:rsid w:val="00B42595"/>
    <w:rsid w:val="00B61C72"/>
    <w:rsid w:val="00C27EDA"/>
    <w:rsid w:val="00C47835"/>
    <w:rsid w:val="00C57203"/>
    <w:rsid w:val="00C619AE"/>
    <w:rsid w:val="00D5060B"/>
    <w:rsid w:val="00D603DF"/>
    <w:rsid w:val="00D635B4"/>
    <w:rsid w:val="00D90D68"/>
    <w:rsid w:val="00DD17C9"/>
    <w:rsid w:val="00E41CE0"/>
    <w:rsid w:val="00E53D76"/>
    <w:rsid w:val="00E708F8"/>
    <w:rsid w:val="00E8465D"/>
    <w:rsid w:val="00EA20CA"/>
    <w:rsid w:val="00EA4F3C"/>
    <w:rsid w:val="00EB7929"/>
    <w:rsid w:val="00F065BD"/>
    <w:rsid w:val="00F331E2"/>
    <w:rsid w:val="00F33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615">
      <w:bodyDiv w:val="1"/>
      <w:marLeft w:val="0"/>
      <w:marRight w:val="0"/>
      <w:marTop w:val="0"/>
      <w:marBottom w:val="0"/>
      <w:divBdr>
        <w:top w:val="none" w:sz="0" w:space="0" w:color="auto"/>
        <w:left w:val="none" w:sz="0" w:space="0" w:color="auto"/>
        <w:bottom w:val="none" w:sz="0" w:space="0" w:color="auto"/>
        <w:right w:val="none" w:sz="0" w:space="0" w:color="auto"/>
      </w:divBdr>
    </w:div>
    <w:div w:id="201355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4278</Words>
  <Characters>2439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helen</cp:lastModifiedBy>
  <cp:revision>19</cp:revision>
  <cp:lastPrinted>2018-03-21T08:18:00Z</cp:lastPrinted>
  <dcterms:created xsi:type="dcterms:W3CDTF">2020-03-12T10:23:00Z</dcterms:created>
  <dcterms:modified xsi:type="dcterms:W3CDTF">2021-03-28T17:24:00Z</dcterms:modified>
</cp:coreProperties>
</file>